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C2" w:rsidRPr="00704F2D" w:rsidRDefault="00DA5FC2" w:rsidP="00DA5FC2">
      <w:pPr>
        <w:rPr>
          <w:sz w:val="24"/>
        </w:rPr>
      </w:pPr>
      <w:r>
        <w:rPr>
          <w:sz w:val="32"/>
          <w:szCs w:val="32"/>
        </w:rPr>
        <w:t xml:space="preserve">Programma </w:t>
      </w:r>
      <w:r w:rsidRPr="00704F2D">
        <w:rPr>
          <w:sz w:val="24"/>
        </w:rPr>
        <w:t xml:space="preserve"> </w:t>
      </w:r>
    </w:p>
    <w:p w:rsidR="00DA5FC2" w:rsidRDefault="00DA5FC2" w:rsidP="00DA5FC2">
      <w:pPr>
        <w:rPr>
          <w:b/>
          <w:sz w:val="28"/>
          <w:szCs w:val="28"/>
        </w:rPr>
      </w:pPr>
    </w:p>
    <w:p w:rsidR="00DA5FC2" w:rsidRDefault="00DA5FC2" w:rsidP="00DA5FC2">
      <w:pPr>
        <w:rPr>
          <w:b/>
        </w:rPr>
      </w:pPr>
      <w:r w:rsidRPr="002B1842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: </w:t>
      </w:r>
      <w:r>
        <w:rPr>
          <w:b/>
        </w:rPr>
        <w:t xml:space="preserve"> Delict-amnesie</w:t>
      </w:r>
    </w:p>
    <w:p w:rsidR="00DA5FC2" w:rsidRDefault="00DA5FC2" w:rsidP="00DA5FC2">
      <w:pPr>
        <w:rPr>
          <w:b/>
        </w:rPr>
      </w:pPr>
      <w:r>
        <w:rPr>
          <w:b/>
        </w:rPr>
        <w:t xml:space="preserve">Datum: </w:t>
      </w:r>
      <w:r>
        <w:rPr>
          <w:b/>
        </w:rPr>
        <w:tab/>
        <w:t>3 april 2018</w:t>
      </w:r>
    </w:p>
    <w:p w:rsidR="00DA5FC2" w:rsidRDefault="00DA5FC2" w:rsidP="00DA5FC2">
      <w:pPr>
        <w:rPr>
          <w:b/>
        </w:rPr>
      </w:pPr>
      <w:r>
        <w:rPr>
          <w:b/>
        </w:rPr>
        <w:t>Locatie:  Het Klooster te Zwolle</w:t>
      </w:r>
    </w:p>
    <w:p w:rsidR="00DA5FC2" w:rsidRDefault="00DA5FC2" w:rsidP="00DA5FC2">
      <w:pPr>
        <w:rPr>
          <w:b/>
        </w:rPr>
      </w:pPr>
    </w:p>
    <w:p w:rsidR="00DA5FC2" w:rsidRDefault="00DA5FC2" w:rsidP="00DA5FC2">
      <w:pPr>
        <w:rPr>
          <w:b/>
        </w:rPr>
      </w:pPr>
      <w:r>
        <w:rPr>
          <w:b/>
        </w:rPr>
        <w:t xml:space="preserve">Inhoud programma: </w:t>
      </w:r>
    </w:p>
    <w:p w:rsidR="00DA5FC2" w:rsidRDefault="00DA5FC2" w:rsidP="00DA5FC2">
      <w:pPr>
        <w:rPr>
          <w:b/>
        </w:rPr>
      </w:pPr>
    </w:p>
    <w:p w:rsidR="00DA5FC2" w:rsidRPr="00C10D58" w:rsidRDefault="00DA5FC2" w:rsidP="00DA5F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69"/>
        <w:gridCol w:w="1950"/>
        <w:gridCol w:w="2073"/>
      </w:tblGrid>
      <w:tr w:rsidR="00DA5FC2" w:rsidRPr="00704F2D" w:rsidTr="00EE2263">
        <w:tc>
          <w:tcPr>
            <w:tcW w:w="3191" w:type="dxa"/>
            <w:shd w:val="clear" w:color="auto" w:fill="auto"/>
          </w:tcPr>
          <w:p w:rsidR="00DA5FC2" w:rsidRPr="00532444" w:rsidRDefault="00DA5FC2" w:rsidP="00EE2263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DA5FC2" w:rsidRPr="00532444" w:rsidRDefault="00DA5FC2" w:rsidP="00EE2263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1950" w:type="dxa"/>
            <w:shd w:val="clear" w:color="auto" w:fill="auto"/>
          </w:tcPr>
          <w:p w:rsidR="00DA5FC2" w:rsidRPr="00532444" w:rsidRDefault="00DA5FC2" w:rsidP="00EE2263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DA5FC2" w:rsidRPr="00532444" w:rsidRDefault="00DA5FC2" w:rsidP="00EE2263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DA5FC2" w:rsidRPr="00704F2D" w:rsidTr="00EE2263">
        <w:tc>
          <w:tcPr>
            <w:tcW w:w="3191" w:type="dxa"/>
            <w:shd w:val="clear" w:color="auto" w:fill="auto"/>
          </w:tcPr>
          <w:p w:rsidR="00DA5FC2" w:rsidRPr="00704F2D" w:rsidRDefault="00DA5FC2" w:rsidP="00EE2263">
            <w:r w:rsidRPr="00704F2D">
              <w:t>Aanvang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DA5FC2" w:rsidRPr="00704F2D" w:rsidRDefault="00DA5FC2" w:rsidP="00EE2263">
            <w:r>
              <w:t>17.00</w:t>
            </w:r>
          </w:p>
        </w:tc>
        <w:tc>
          <w:tcPr>
            <w:tcW w:w="1950" w:type="dxa"/>
            <w:shd w:val="clear" w:color="auto" w:fill="auto"/>
          </w:tcPr>
          <w:p w:rsidR="00DA5FC2" w:rsidRPr="00704F2D" w:rsidRDefault="00DA5FC2" w:rsidP="00EE2263">
            <w:r w:rsidRPr="00704F2D">
              <w:t>Inschrijving</w:t>
            </w:r>
          </w:p>
          <w:p w:rsidR="00DA5FC2" w:rsidRPr="00704F2D" w:rsidRDefault="00DA5FC2" w:rsidP="00EE2263">
            <w:r>
              <w:t>Broodmaaltijd</w:t>
            </w:r>
          </w:p>
        </w:tc>
        <w:tc>
          <w:tcPr>
            <w:tcW w:w="2073" w:type="dxa"/>
            <w:shd w:val="clear" w:color="auto" w:fill="auto"/>
          </w:tcPr>
          <w:p w:rsidR="00DA5FC2" w:rsidRPr="00704F2D" w:rsidRDefault="00DA5FC2" w:rsidP="00EE2263">
            <w:pPr>
              <w:ind w:left="720"/>
            </w:pPr>
          </w:p>
        </w:tc>
      </w:tr>
      <w:tr w:rsidR="00DA5FC2" w:rsidRPr="00704F2D" w:rsidTr="00EE2263">
        <w:tc>
          <w:tcPr>
            <w:tcW w:w="3191" w:type="dxa"/>
            <w:shd w:val="clear" w:color="auto" w:fill="auto"/>
          </w:tcPr>
          <w:p w:rsidR="00DA5FC2" w:rsidRPr="00704F2D" w:rsidRDefault="00DA5FC2" w:rsidP="00EE2263">
            <w:r>
              <w:t>O</w:t>
            </w:r>
            <w:r w:rsidRPr="00704F2D">
              <w:t>pening</w:t>
            </w:r>
          </w:p>
        </w:tc>
        <w:tc>
          <w:tcPr>
            <w:tcW w:w="1069" w:type="dxa"/>
            <w:shd w:val="clear" w:color="auto" w:fill="auto"/>
          </w:tcPr>
          <w:p w:rsidR="00DA5FC2" w:rsidRPr="00704F2D" w:rsidRDefault="00DA5FC2" w:rsidP="00EE2263">
            <w:r>
              <w:t>17.30</w:t>
            </w:r>
          </w:p>
        </w:tc>
        <w:tc>
          <w:tcPr>
            <w:tcW w:w="1950" w:type="dxa"/>
            <w:shd w:val="clear" w:color="auto" w:fill="auto"/>
          </w:tcPr>
          <w:p w:rsidR="00DA5FC2" w:rsidRPr="00704F2D" w:rsidRDefault="00DA5FC2" w:rsidP="00EE2263">
            <w:r w:rsidRPr="00704F2D">
              <w:t>Welkom en toelichting bijeenkomst</w:t>
            </w:r>
          </w:p>
        </w:tc>
        <w:tc>
          <w:tcPr>
            <w:tcW w:w="2073" w:type="dxa"/>
            <w:shd w:val="clear" w:color="auto" w:fill="auto"/>
          </w:tcPr>
          <w:p w:rsidR="00DA5FC2" w:rsidRPr="00704F2D" w:rsidRDefault="00EB0BAA" w:rsidP="00EE2263">
            <w:r>
              <w:t>K. Broek</w:t>
            </w:r>
            <w:bookmarkStart w:id="0" w:name="_GoBack"/>
            <w:bookmarkEnd w:id="0"/>
          </w:p>
        </w:tc>
      </w:tr>
      <w:tr w:rsidR="00DA5FC2" w:rsidRPr="00D73AF8" w:rsidTr="00EE2263">
        <w:tc>
          <w:tcPr>
            <w:tcW w:w="3191" w:type="dxa"/>
            <w:shd w:val="clear" w:color="auto" w:fill="auto"/>
          </w:tcPr>
          <w:p w:rsidR="00DA5FC2" w:rsidRPr="008914EB" w:rsidRDefault="00DA5FC2" w:rsidP="00EE2263">
            <w:r w:rsidRPr="008914EB">
              <w:t>1</w:t>
            </w:r>
            <w:r w:rsidRPr="008914EB">
              <w:rPr>
                <w:vertAlign w:val="superscript"/>
              </w:rPr>
              <w:t>e</w:t>
            </w:r>
            <w:r w:rsidRPr="008914EB">
              <w:t xml:space="preserve"> programmaonderdeel:</w:t>
            </w:r>
          </w:p>
          <w:p w:rsidR="00DA5FC2" w:rsidRPr="00D73AF8" w:rsidRDefault="00DA5FC2" w:rsidP="00EE2263">
            <w:r w:rsidRPr="00D73AF8">
              <w:t>Prevalentie van delict-amnesie</w:t>
            </w:r>
            <w:r>
              <w:t>;</w:t>
            </w:r>
          </w:p>
          <w:p w:rsidR="00DA5FC2" w:rsidRDefault="00DA5FC2" w:rsidP="00EE2263">
            <w:r>
              <w:t>waarom het loont om dit type amnesie te claimen;</w:t>
            </w:r>
          </w:p>
          <w:p w:rsidR="00DA5FC2" w:rsidRDefault="00DA5FC2" w:rsidP="00EE2263">
            <w:r>
              <w:t>wetenschappelijke verklaringen voor delict-amnesie;</w:t>
            </w:r>
          </w:p>
          <w:p w:rsidR="00DA5FC2" w:rsidRDefault="00DA5FC2" w:rsidP="00EE2263">
            <w:r>
              <w:t>amnesie en het brein;</w:t>
            </w:r>
          </w:p>
          <w:p w:rsidR="00DA5FC2" w:rsidRDefault="00DA5FC2" w:rsidP="00EE2263">
            <w:r>
              <w:t>rol van alcohol en drugs.</w:t>
            </w:r>
          </w:p>
          <w:p w:rsidR="00DA5FC2" w:rsidRPr="00D73AF8" w:rsidRDefault="00DA5FC2" w:rsidP="00EE226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DA5FC2" w:rsidRPr="00D73AF8" w:rsidRDefault="00DA5FC2" w:rsidP="00EE2263">
            <w:pPr>
              <w:rPr>
                <w:b/>
              </w:rPr>
            </w:pPr>
            <w:r w:rsidRPr="00D73AF8">
              <w:rPr>
                <w:b/>
              </w:rPr>
              <w:t>17.45</w:t>
            </w:r>
          </w:p>
        </w:tc>
        <w:tc>
          <w:tcPr>
            <w:tcW w:w="1950" w:type="dxa"/>
            <w:shd w:val="clear" w:color="auto" w:fill="auto"/>
          </w:tcPr>
          <w:p w:rsidR="00DA5FC2" w:rsidRPr="00D73AF8" w:rsidRDefault="00DA5FC2" w:rsidP="00EE2263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:rsidR="00DA5FC2" w:rsidRPr="008914EB" w:rsidRDefault="00DA5FC2" w:rsidP="00EE2263">
            <w:r w:rsidRPr="008914EB">
              <w:t>M. Jelicic</w:t>
            </w:r>
          </w:p>
        </w:tc>
      </w:tr>
      <w:tr w:rsidR="00DA5FC2" w:rsidRPr="00704F2D" w:rsidTr="00EE2263">
        <w:tc>
          <w:tcPr>
            <w:tcW w:w="3191" w:type="dxa"/>
            <w:shd w:val="clear" w:color="auto" w:fill="auto"/>
          </w:tcPr>
          <w:p w:rsidR="00DA5FC2" w:rsidRPr="00704F2D" w:rsidRDefault="00DA5FC2" w:rsidP="00EE2263">
            <w:r w:rsidRPr="00704F2D">
              <w:t>Lunch</w:t>
            </w:r>
            <w:r>
              <w:t>/broodjes</w:t>
            </w:r>
            <w:r w:rsidRPr="00704F2D">
              <w:t>pauze</w:t>
            </w:r>
          </w:p>
        </w:tc>
        <w:tc>
          <w:tcPr>
            <w:tcW w:w="1069" w:type="dxa"/>
            <w:shd w:val="clear" w:color="auto" w:fill="auto"/>
          </w:tcPr>
          <w:p w:rsidR="00DA5FC2" w:rsidRPr="00704F2D" w:rsidRDefault="00DA5FC2" w:rsidP="00EE2263">
            <w:r>
              <w:t>18.30</w:t>
            </w:r>
          </w:p>
        </w:tc>
        <w:tc>
          <w:tcPr>
            <w:tcW w:w="1950" w:type="dxa"/>
            <w:shd w:val="clear" w:color="auto" w:fill="auto"/>
          </w:tcPr>
          <w:p w:rsidR="00DA5FC2" w:rsidRPr="00704F2D" w:rsidRDefault="00DA5FC2" w:rsidP="00EE2263">
            <w:r>
              <w:t>Koffie/thee pauze</w:t>
            </w:r>
          </w:p>
        </w:tc>
        <w:tc>
          <w:tcPr>
            <w:tcW w:w="2073" w:type="dxa"/>
            <w:shd w:val="clear" w:color="auto" w:fill="auto"/>
          </w:tcPr>
          <w:p w:rsidR="00DA5FC2" w:rsidRPr="00704F2D" w:rsidRDefault="00DA5FC2" w:rsidP="00EE2263"/>
        </w:tc>
      </w:tr>
      <w:tr w:rsidR="00DA5FC2" w:rsidRPr="00704F2D" w:rsidTr="00EE2263">
        <w:tc>
          <w:tcPr>
            <w:tcW w:w="3191" w:type="dxa"/>
            <w:shd w:val="clear" w:color="auto" w:fill="auto"/>
          </w:tcPr>
          <w:p w:rsidR="00DA5FC2" w:rsidRDefault="00DA5FC2" w:rsidP="00EE2263">
            <w:r>
              <w:t>Vervolg programma:</w:t>
            </w:r>
          </w:p>
          <w:p w:rsidR="00DA5FC2" w:rsidRDefault="00DA5FC2" w:rsidP="00EE2263">
            <w:r>
              <w:t>Detectie van geveinsde delict-amnesie;</w:t>
            </w:r>
          </w:p>
          <w:p w:rsidR="00DA5FC2" w:rsidRDefault="00DA5FC2" w:rsidP="00EE2263">
            <w:r>
              <w:t>enkele gevallen van (echte en geveinsde) delict-amnesie</w:t>
            </w:r>
          </w:p>
          <w:p w:rsidR="00DA5FC2" w:rsidRPr="00704F2D" w:rsidRDefault="00DA5FC2" w:rsidP="00EE2263"/>
        </w:tc>
        <w:tc>
          <w:tcPr>
            <w:tcW w:w="1069" w:type="dxa"/>
            <w:shd w:val="clear" w:color="auto" w:fill="auto"/>
          </w:tcPr>
          <w:p w:rsidR="00DA5FC2" w:rsidRPr="00704F2D" w:rsidRDefault="00DA5FC2" w:rsidP="00EE2263">
            <w:r>
              <w:t>18.45</w:t>
            </w:r>
          </w:p>
        </w:tc>
        <w:tc>
          <w:tcPr>
            <w:tcW w:w="1950" w:type="dxa"/>
            <w:shd w:val="clear" w:color="auto" w:fill="auto"/>
          </w:tcPr>
          <w:p w:rsidR="00DA5FC2" w:rsidRPr="00704F2D" w:rsidRDefault="00DA5FC2" w:rsidP="00EE2263"/>
        </w:tc>
        <w:tc>
          <w:tcPr>
            <w:tcW w:w="2073" w:type="dxa"/>
            <w:shd w:val="clear" w:color="auto" w:fill="auto"/>
          </w:tcPr>
          <w:p w:rsidR="00DA5FC2" w:rsidRPr="00704F2D" w:rsidRDefault="00DA5FC2" w:rsidP="00EE2263">
            <w:r>
              <w:t>M. Jelicic</w:t>
            </w:r>
          </w:p>
        </w:tc>
      </w:tr>
      <w:tr w:rsidR="00DA5FC2" w:rsidRPr="00704F2D" w:rsidTr="00EE2263">
        <w:tc>
          <w:tcPr>
            <w:tcW w:w="3191" w:type="dxa"/>
            <w:shd w:val="clear" w:color="auto" w:fill="auto"/>
          </w:tcPr>
          <w:p w:rsidR="00DA5FC2" w:rsidRPr="00704F2D" w:rsidRDefault="00DA5FC2" w:rsidP="00EE2263">
            <w:r>
              <w:t>Vragen en afsluiting</w:t>
            </w:r>
          </w:p>
        </w:tc>
        <w:tc>
          <w:tcPr>
            <w:tcW w:w="1069" w:type="dxa"/>
            <w:shd w:val="clear" w:color="auto" w:fill="auto"/>
          </w:tcPr>
          <w:p w:rsidR="00DA5FC2" w:rsidRPr="00704F2D" w:rsidRDefault="00DA5FC2" w:rsidP="00EE2263">
            <w:r>
              <w:t>19.30</w:t>
            </w:r>
          </w:p>
        </w:tc>
        <w:tc>
          <w:tcPr>
            <w:tcW w:w="1950" w:type="dxa"/>
            <w:shd w:val="clear" w:color="auto" w:fill="auto"/>
          </w:tcPr>
          <w:p w:rsidR="00DA5FC2" w:rsidRPr="00704F2D" w:rsidRDefault="00DA5FC2" w:rsidP="00EE2263"/>
        </w:tc>
        <w:tc>
          <w:tcPr>
            <w:tcW w:w="2073" w:type="dxa"/>
            <w:shd w:val="clear" w:color="auto" w:fill="auto"/>
          </w:tcPr>
          <w:p w:rsidR="00DA5FC2" w:rsidRPr="00704F2D" w:rsidRDefault="00DA5FC2" w:rsidP="00EE2263"/>
        </w:tc>
      </w:tr>
    </w:tbl>
    <w:p w:rsidR="00DA5FC2" w:rsidRDefault="00DA5FC2" w:rsidP="00DA5FC2">
      <w:pPr>
        <w:rPr>
          <w:b/>
        </w:rPr>
      </w:pPr>
    </w:p>
    <w:p w:rsidR="00DA5FC2" w:rsidRDefault="00DA5FC2" w:rsidP="00DA5FC2">
      <w:pPr>
        <w:rPr>
          <w:b/>
        </w:rPr>
      </w:pPr>
      <w:r w:rsidRPr="00A00079">
        <w:rPr>
          <w:b/>
        </w:rPr>
        <w:t xml:space="preserve"> </w:t>
      </w:r>
      <w:r>
        <w:rPr>
          <w:b/>
        </w:rPr>
        <w:t>Aanbevolen l</w:t>
      </w:r>
      <w:r w:rsidRPr="00A00079">
        <w:rPr>
          <w:b/>
        </w:rPr>
        <w:t>iteratuur:</w:t>
      </w:r>
    </w:p>
    <w:p w:rsidR="00DA5FC2" w:rsidRDefault="00DA5FC2" w:rsidP="00DA5FC2">
      <w:r>
        <w:t xml:space="preserve">Merckelbach, H. e.a. (2005). Weet er niets meer van, edelachtbare: over daderamnesie. </w:t>
      </w:r>
      <w:r>
        <w:rPr>
          <w:i/>
        </w:rPr>
        <w:t xml:space="preserve">Delikt en Delinkwent, 35, </w:t>
      </w:r>
      <w:r>
        <w:t>11-30.</w:t>
      </w:r>
    </w:p>
    <w:p w:rsidR="00DA5FC2" w:rsidRPr="000A307B" w:rsidRDefault="00DA5FC2" w:rsidP="00DA5FC2">
      <w:r>
        <w:t xml:space="preserve">Merckelbach, H. &amp; Niesten, I. (2014). Prestatie onder kans: de ‘Smoking Gun’ van veinzen. </w:t>
      </w:r>
      <w:r>
        <w:rPr>
          <w:i/>
        </w:rPr>
        <w:t xml:space="preserve">Tijdschrift voor Klinische Psychologie, 44, </w:t>
      </w:r>
      <w:r>
        <w:t>243-249.</w:t>
      </w:r>
    </w:p>
    <w:p w:rsidR="00AE68AB" w:rsidRDefault="00AE68AB"/>
    <w:sectPr w:rsidR="00A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2"/>
    <w:rsid w:val="00AE68AB"/>
    <w:rsid w:val="00DA5FC2"/>
    <w:rsid w:val="00E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FC2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FC2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20D08B1D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2018-01-23T13:18:00Z</dcterms:created>
  <dcterms:modified xsi:type="dcterms:W3CDTF">2018-01-23T13:52:00Z</dcterms:modified>
</cp:coreProperties>
</file>